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E4" w:rsidRDefault="00560025">
      <w:pPr>
        <w:kinsoku w:val="0"/>
        <w:overflowPunct w:val="0"/>
        <w:snapToGrid w:val="0"/>
        <w:spacing w:line="40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pacing w:val="100"/>
          <w:sz w:val="40"/>
          <w:szCs w:val="40"/>
        </w:rPr>
        <w:t>海岸巡防機關與海關協調聯繫辦</w:t>
      </w:r>
      <w:r>
        <w:rPr>
          <w:rFonts w:ascii="標楷體" w:eastAsia="標楷體" w:hAnsi="標楷體"/>
          <w:color w:val="000000"/>
          <w:sz w:val="40"/>
          <w:szCs w:val="40"/>
        </w:rPr>
        <w:t>法</w:t>
      </w:r>
    </w:p>
    <w:p w:rsidR="005406E4" w:rsidRDefault="005406E4" w:rsidP="005406E4">
      <w:pPr>
        <w:kinsoku w:val="0"/>
        <w:overflowPunct w:val="0"/>
        <w:snapToGrid w:val="0"/>
        <w:spacing w:line="320" w:lineRule="exact"/>
        <w:ind w:left="3374" w:hanging="240"/>
        <w:jc w:val="both"/>
        <w:rPr>
          <w:rFonts w:ascii="標楷體" w:eastAsia="標楷體" w:hAnsi="標楷體" w:cs="標楷體"/>
          <w:bCs/>
          <w:color w:val="000000"/>
          <w:szCs w:val="24"/>
        </w:rPr>
      </w:pPr>
    </w:p>
    <w:p w:rsidR="005406E4" w:rsidRPr="005406E4" w:rsidRDefault="005406E4" w:rsidP="005406E4">
      <w:pPr>
        <w:kinsoku w:val="0"/>
        <w:overflowPunct w:val="0"/>
        <w:snapToGrid w:val="0"/>
        <w:spacing w:line="320" w:lineRule="exact"/>
        <w:ind w:left="3374" w:hanging="240"/>
        <w:jc w:val="both"/>
        <w:rPr>
          <w:rFonts w:ascii="標楷體" w:eastAsia="標楷體" w:hAnsi="標楷體" w:cs="標楷體"/>
          <w:bCs/>
          <w:color w:val="000000"/>
          <w:szCs w:val="24"/>
        </w:rPr>
      </w:pP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中華民國九十年十月十七日行政院海岸巡防署（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>90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）署巡檢字第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 xml:space="preserve"> 0900012333 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號令、財政部（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>90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）台財關字第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 xml:space="preserve"> 0900055162 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號令會銜訂定發布全文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 xml:space="preserve"> 11 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條</w:t>
      </w:r>
    </w:p>
    <w:p w:rsidR="00416AE4" w:rsidRDefault="005406E4" w:rsidP="005406E4">
      <w:pPr>
        <w:kinsoku w:val="0"/>
        <w:overflowPunct w:val="0"/>
        <w:snapToGrid w:val="0"/>
        <w:spacing w:line="320" w:lineRule="exact"/>
        <w:ind w:left="3374" w:hanging="240"/>
        <w:jc w:val="both"/>
        <w:rPr>
          <w:rFonts w:ascii="標楷體" w:eastAsia="標楷體" w:hAnsi="標楷體" w:cs="標楷體"/>
          <w:bCs/>
          <w:color w:val="000000"/>
          <w:sz w:val="40"/>
          <w:szCs w:val="24"/>
        </w:rPr>
      </w:pP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中華民國一百零九年八月二十一日海洋委員會海域執字第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>1090007077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號令、財政部台財關字第</w:t>
      </w:r>
      <w:r w:rsidRPr="005406E4">
        <w:rPr>
          <w:rFonts w:ascii="標楷體" w:eastAsia="標楷體" w:hAnsi="標楷體" w:cs="標楷體"/>
          <w:bCs/>
          <w:color w:val="000000"/>
          <w:szCs w:val="24"/>
        </w:rPr>
        <w:t>1091015956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號令會銜修正</w:t>
      </w:r>
      <w:r>
        <w:rPr>
          <w:rFonts w:ascii="標楷體" w:eastAsia="標楷體" w:hAnsi="標楷體" w:cs="標楷體" w:hint="eastAsia"/>
          <w:bCs/>
          <w:color w:val="000000"/>
          <w:szCs w:val="24"/>
        </w:rPr>
        <w:t>名稱，並修正</w:t>
      </w:r>
      <w:r w:rsidRPr="005406E4">
        <w:rPr>
          <w:rFonts w:ascii="標楷體" w:eastAsia="標楷體" w:hAnsi="標楷體" w:cs="標楷體" w:hint="eastAsia"/>
          <w:bCs/>
          <w:color w:val="000000"/>
          <w:szCs w:val="24"/>
        </w:rPr>
        <w:t>條文</w:t>
      </w:r>
    </w:p>
    <w:p w:rsidR="00416AE4" w:rsidRDefault="00416AE4">
      <w:pPr>
        <w:kinsoku w:val="0"/>
        <w:overflowPunct w:val="0"/>
        <w:snapToGrid w:val="0"/>
        <w:spacing w:line="320" w:lineRule="exact"/>
        <w:ind w:left="3374" w:hanging="240"/>
        <w:jc w:val="both"/>
        <w:rPr>
          <w:rFonts w:ascii="標楷體" w:eastAsia="標楷體" w:hAnsi="標楷體" w:cs="標楷體"/>
          <w:bCs/>
          <w:color w:val="000000"/>
          <w:szCs w:val="24"/>
        </w:rPr>
      </w:pPr>
    </w:p>
    <w:p w:rsidR="00416AE4" w:rsidRDefault="00560025">
      <w:pPr>
        <w:kinsoku w:val="0"/>
        <w:overflowPunct w:val="0"/>
        <w:snapToGrid w:val="0"/>
        <w:spacing w:line="560" w:lineRule="exact"/>
        <w:ind w:left="1322" w:hanging="1322"/>
        <w:jc w:val="both"/>
        <w:rPr>
          <w:rFonts w:ascii="標楷體" w:eastAsia="標楷體" w:hAnsi="標楷體" w:cs="細明體;MingLiU"/>
          <w:sz w:val="32"/>
          <w:szCs w:val="32"/>
        </w:rPr>
      </w:pPr>
      <w:r>
        <w:rPr>
          <w:rFonts w:ascii="標楷體" w:eastAsia="標楷體" w:hAnsi="標楷體" w:cs="細明體;MingLiU"/>
          <w:sz w:val="32"/>
          <w:szCs w:val="32"/>
        </w:rPr>
        <w:t>第 一 條    為便於海岸巡防機關(以下簡稱海巡機關)與海關對於通商口岸、海域、海岸、河口與非通商口岸查緝走私工作之協調、聯繫，特依海岸巡防法第十二條第二項規定訂定本辦法。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322" w:hanging="1322"/>
        <w:jc w:val="both"/>
        <w:rPr>
          <w:rFonts w:ascii="標楷體" w:eastAsia="標楷體" w:hAnsi="標楷體" w:cs="細明體;MingLiU"/>
          <w:sz w:val="32"/>
          <w:szCs w:val="32"/>
        </w:rPr>
      </w:pPr>
      <w:r>
        <w:rPr>
          <w:rFonts w:ascii="標楷體" w:eastAsia="標楷體" w:hAnsi="標楷體" w:cs="細明體;MingLiU"/>
          <w:sz w:val="32"/>
          <w:szCs w:val="32"/>
        </w:rPr>
        <w:t>第 二 條    本辦法所稱海關為財政部關務署及所屬各關。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  <w:rPr>
          <w:rFonts w:ascii="標楷體" w:eastAsia="標楷體" w:hAnsi="標楷體" w:cs="細明體;MingLiU"/>
          <w:sz w:val="32"/>
          <w:szCs w:val="32"/>
        </w:rPr>
      </w:pPr>
      <w:r>
        <w:rPr>
          <w:rFonts w:ascii="標楷體" w:eastAsia="標楷體" w:hAnsi="標楷體" w:cs="細明體;MingLiU"/>
          <w:sz w:val="32"/>
          <w:szCs w:val="32"/>
        </w:rPr>
        <w:t>第 三 條    通商口岸、海域、海岸、河口及非通商口岸查緝走私工作之執行，應依下列原則辦理：</w:t>
      </w:r>
    </w:p>
    <w:p w:rsidR="00416AE4" w:rsidRDefault="00560025">
      <w:pPr>
        <w:kinsoku w:val="0"/>
        <w:overflowPunct w:val="0"/>
        <w:snapToGrid w:val="0"/>
        <w:spacing w:line="560" w:lineRule="exact"/>
        <w:ind w:left="2560" w:hanging="256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  </w:t>
      </w:r>
      <w:r>
        <w:rPr>
          <w:rFonts w:ascii="標楷體" w:eastAsia="標楷體" w:hAnsi="標楷體" w:cs="細明體;MingLiU"/>
          <w:sz w:val="32"/>
          <w:szCs w:val="32"/>
        </w:rPr>
        <w:t>一、通商口岸(含港區、錨地及其臨近水域)：由海關辦理。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2560" w:hanging="256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  </w:t>
      </w:r>
      <w:r>
        <w:rPr>
          <w:rFonts w:ascii="標楷體" w:eastAsia="標楷體" w:hAnsi="標楷體" w:cs="細明體;MingLiU"/>
          <w:sz w:val="32"/>
          <w:szCs w:val="32"/>
        </w:rPr>
        <w:t>二、海域、海岸、河口及非通商口岸：由海巡機關負責查緝及調查，除法令另有規定外，應將查緝結果，連同緝獲私貨，移送海關處理。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  </w:t>
      </w:r>
      <w:r>
        <w:rPr>
          <w:rFonts w:ascii="標楷體" w:eastAsia="標楷體" w:hAnsi="標楷體" w:cs="細明體;MingLiU"/>
          <w:sz w:val="32"/>
          <w:szCs w:val="32"/>
        </w:rPr>
        <w:t>海巡機關或海關於其管轄區域內發現應由他方辦理之案件時，除應為必要之處置外，並即通知他方機關。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  <w:rPr>
          <w:rFonts w:ascii="標楷體" w:eastAsia="標楷體" w:hAnsi="標楷體" w:cs="細明體;MingLiU"/>
          <w:sz w:val="32"/>
          <w:szCs w:val="32"/>
        </w:rPr>
      </w:pPr>
      <w:r>
        <w:rPr>
          <w:rFonts w:ascii="標楷體" w:eastAsia="標楷體" w:hAnsi="標楷體" w:cs="細明體;MingLiU"/>
          <w:sz w:val="32"/>
          <w:szCs w:val="32"/>
        </w:rPr>
        <w:t>第 四 條    海巡機關與海關於相互請求協助時，除緊急情形外，應以書面為之。如係以其他方式請求協助，嗣後應補送書面資料。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  <w:rPr>
          <w:rFonts w:ascii="標楷體" w:eastAsia="標楷體" w:hAnsi="標楷體" w:cs="細明體;MingLiU"/>
          <w:sz w:val="32"/>
          <w:szCs w:val="32"/>
        </w:rPr>
      </w:pPr>
      <w:r>
        <w:rPr>
          <w:rFonts w:ascii="標楷體" w:eastAsia="標楷體" w:hAnsi="標楷體" w:cs="細明體;MingLiU"/>
          <w:sz w:val="32"/>
          <w:szCs w:val="32"/>
        </w:rPr>
        <w:lastRenderedPageBreak/>
        <w:t>第 五 條    海關因緝私需要，得請求海巡機關協助，海巡機關非有正當理由，不得拒絕。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2" w:firstLine="2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細明體;MingLiU"/>
          <w:sz w:val="32"/>
          <w:szCs w:val="32"/>
        </w:rPr>
        <w:t>海關執行緝私，或海巡機關協助緝私，發現有犯罪嫌疑者，應立即依法移送主管機關處理。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</w:pPr>
      <w:r>
        <w:rPr>
          <w:rFonts w:ascii="標楷體" w:eastAsia="標楷體" w:hAnsi="標楷體" w:cs="細明體;MingLiU"/>
          <w:sz w:val="32"/>
          <w:szCs w:val="32"/>
        </w:rPr>
        <w:t>第 六 條    海巡機關與海關間應建立相關情資窗口，並維持聯繫及資源之共享，遇有緊急或重大狀況，即時互為通報。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</w:pPr>
      <w:r>
        <w:rPr>
          <w:rFonts w:ascii="標楷體" w:eastAsia="標楷體" w:hAnsi="標楷體" w:cs="細明體;MingLiU"/>
          <w:sz w:val="32"/>
          <w:szCs w:val="32"/>
        </w:rPr>
        <w:t>第 七 條    海巡機關與海關間依法令須相互委託執行之事項，應依行政程序法相關規定辦理，為利執行，並得訂定相關作業流程。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</w:pPr>
      <w:r>
        <w:rPr>
          <w:rFonts w:ascii="標楷體" w:eastAsia="標楷體" w:hAnsi="標楷體" w:cs="細明體;MingLiU"/>
          <w:sz w:val="32"/>
          <w:szCs w:val="32"/>
        </w:rPr>
        <w:t>第 八 條    海巡機關與海關間相互請求協助事項所需經費，得由請求之一方編列預算支應。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274" w:hanging="1274"/>
        <w:jc w:val="both"/>
      </w:pPr>
      <w:r>
        <w:rPr>
          <w:rFonts w:ascii="標楷體" w:eastAsia="標楷體" w:hAnsi="標楷體" w:cs="細明體;MingLiU"/>
          <w:sz w:val="32"/>
          <w:szCs w:val="32"/>
        </w:rPr>
        <w:t>第 九 條    海巡機關與海關間，依法執行職務或相互請求協助無法獲致協議時，應報由海洋委員會及財政部協商解決。</w:t>
      </w:r>
    </w:p>
    <w:p w:rsidR="00416AE4" w:rsidRDefault="00560025">
      <w:pPr>
        <w:kinsoku w:val="0"/>
        <w:overflowPunct w:val="0"/>
        <w:snapToGrid w:val="0"/>
        <w:spacing w:line="560" w:lineRule="exact"/>
        <w:ind w:left="1320" w:hanging="1318"/>
        <w:jc w:val="both"/>
      </w:pPr>
      <w:r>
        <w:rPr>
          <w:rFonts w:ascii="標楷體" w:eastAsia="標楷體" w:hAnsi="標楷體" w:cs="細明體;MingLiU"/>
          <w:sz w:val="32"/>
          <w:szCs w:val="32"/>
        </w:rPr>
        <w:t xml:space="preserve">第 十 條    本辦法自發布日施行。  </w:t>
      </w:r>
    </w:p>
    <w:sectPr w:rsidR="00416AE4">
      <w:footerReference w:type="default" r:id="rId7"/>
      <w:pgSz w:w="11906" w:h="16838"/>
      <w:pgMar w:top="1418" w:right="1418" w:bottom="1418" w:left="1701" w:header="0" w:footer="992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01" w:rsidRDefault="00827901">
      <w:r>
        <w:separator/>
      </w:r>
    </w:p>
  </w:endnote>
  <w:endnote w:type="continuationSeparator" w:id="0">
    <w:p w:rsidR="00827901" w:rsidRDefault="008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;MingLiU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E4" w:rsidRDefault="00560025">
    <w:pPr>
      <w:pStyle w:val="ab"/>
      <w:tabs>
        <w:tab w:val="left" w:pos="11820"/>
      </w:tabs>
      <w:ind w:left="11640"/>
      <w:rPr>
        <w:rFonts w:ascii="標楷體" w:eastAsia="標楷體" w:hAnsi="標楷體"/>
        <w:sz w:val="28"/>
      </w:rPr>
    </w:pPr>
    <w:r>
      <w:rPr>
        <w:rFonts w:ascii="標楷體" w:eastAsia="標楷體" w:hAnsi="標楷體"/>
        <w:sz w:val="28"/>
      </w:rPr>
      <w:fldChar w:fldCharType="begin"/>
    </w:r>
    <w:r>
      <w:instrText>PAGE</w:instrText>
    </w:r>
    <w:r>
      <w:fldChar w:fldCharType="separate"/>
    </w:r>
    <w:r w:rsidR="00820C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01" w:rsidRDefault="00827901">
      <w:r>
        <w:separator/>
      </w:r>
    </w:p>
  </w:footnote>
  <w:footnote w:type="continuationSeparator" w:id="0">
    <w:p w:rsidR="00827901" w:rsidRDefault="0082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E4"/>
    <w:rsid w:val="00416AE4"/>
    <w:rsid w:val="005406E4"/>
    <w:rsid w:val="00560025"/>
    <w:rsid w:val="00820CD2"/>
    <w:rsid w:val="008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a4">
    <w:name w:val="日期 字元"/>
    <w:qFormat/>
    <w:rPr>
      <w:b/>
      <w:kern w:val="2"/>
      <w:sz w:val="18"/>
    </w:rPr>
  </w:style>
  <w:style w:type="character" w:customStyle="1" w:styleId="3">
    <w:name w:val="本文 3 字元"/>
    <w:qFormat/>
    <w:rPr>
      <w:rFonts w:eastAsia="標楷體"/>
      <w:kern w:val="2"/>
      <w:sz w:val="36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napToGrid w:val="0"/>
      <w:spacing w:line="360" w:lineRule="auto"/>
      <w:jc w:val="both"/>
    </w:pPr>
    <w:rPr>
      <w:rFonts w:ascii="標楷體" w:eastAsia="標楷體" w:hAnsi="標楷體"/>
      <w:sz w:val="4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qFormat/>
    <w:pPr>
      <w:snapToGrid w:val="0"/>
      <w:ind w:left="1440" w:hanging="720"/>
      <w:jc w:val="both"/>
    </w:pPr>
    <w:rPr>
      <w:rFonts w:eastAsia="標楷體"/>
      <w:sz w:val="36"/>
    </w:rPr>
  </w:style>
  <w:style w:type="paragraph" w:styleId="ac">
    <w:name w:val="Body Text Indent"/>
    <w:basedOn w:val="a"/>
    <w:pPr>
      <w:snapToGrid w:val="0"/>
      <w:ind w:left="360" w:hanging="360"/>
      <w:jc w:val="both"/>
    </w:pPr>
    <w:rPr>
      <w:rFonts w:ascii="標楷體" w:eastAsia="標楷體" w:hAnsi="標楷體"/>
      <w:sz w:val="36"/>
    </w:rPr>
  </w:style>
  <w:style w:type="paragraph" w:styleId="2">
    <w:name w:val="Body Text Indent 2"/>
    <w:basedOn w:val="a"/>
    <w:qFormat/>
    <w:pPr>
      <w:snapToGrid w:val="0"/>
      <w:spacing w:line="300" w:lineRule="auto"/>
      <w:ind w:left="400" w:hanging="400"/>
      <w:jc w:val="both"/>
    </w:pPr>
    <w:rPr>
      <w:rFonts w:ascii="標楷體" w:eastAsia="標楷體" w:hAnsi="標楷體"/>
      <w:sz w:val="40"/>
    </w:rPr>
  </w:style>
  <w:style w:type="paragraph" w:styleId="20">
    <w:name w:val="Body Text 2"/>
    <w:basedOn w:val="a"/>
    <w:qFormat/>
    <w:pPr>
      <w:snapToGrid w:val="0"/>
      <w:jc w:val="both"/>
    </w:pPr>
    <w:rPr>
      <w:rFonts w:ascii="標楷體" w:eastAsia="標楷體" w:hAnsi="標楷體"/>
      <w:sz w:val="36"/>
      <w:u w:val="single"/>
    </w:rPr>
  </w:style>
  <w:style w:type="paragraph" w:styleId="ad">
    <w:name w:val="Date"/>
    <w:basedOn w:val="a"/>
    <w:next w:val="a"/>
    <w:qFormat/>
    <w:pPr>
      <w:snapToGrid w:val="0"/>
      <w:spacing w:line="280" w:lineRule="exact"/>
      <w:ind w:left="7371"/>
      <w:jc w:val="both"/>
    </w:pPr>
    <w:rPr>
      <w:b/>
      <w:sz w:val="18"/>
    </w:rPr>
  </w:style>
  <w:style w:type="paragraph" w:styleId="31">
    <w:name w:val="Body Text 3"/>
    <w:basedOn w:val="a"/>
    <w:qFormat/>
    <w:rPr>
      <w:rFonts w:eastAsia="標楷體"/>
      <w:sz w:val="36"/>
      <w:szCs w:val="24"/>
    </w:rPr>
  </w:style>
  <w:style w:type="paragraph" w:styleId="ae">
    <w:name w:val="List Paragraph"/>
    <w:basedOn w:val="a"/>
    <w:qFormat/>
    <w:pPr>
      <w:ind w:left="4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a4">
    <w:name w:val="日期 字元"/>
    <w:qFormat/>
    <w:rPr>
      <w:b/>
      <w:kern w:val="2"/>
      <w:sz w:val="18"/>
    </w:rPr>
  </w:style>
  <w:style w:type="character" w:customStyle="1" w:styleId="3">
    <w:name w:val="本文 3 字元"/>
    <w:qFormat/>
    <w:rPr>
      <w:rFonts w:eastAsia="標楷體"/>
      <w:kern w:val="2"/>
      <w:sz w:val="36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napToGrid w:val="0"/>
      <w:spacing w:line="360" w:lineRule="auto"/>
      <w:jc w:val="both"/>
    </w:pPr>
    <w:rPr>
      <w:rFonts w:ascii="標楷體" w:eastAsia="標楷體" w:hAnsi="標楷體"/>
      <w:sz w:val="4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qFormat/>
    <w:pPr>
      <w:snapToGrid w:val="0"/>
      <w:ind w:left="1440" w:hanging="720"/>
      <w:jc w:val="both"/>
    </w:pPr>
    <w:rPr>
      <w:rFonts w:eastAsia="標楷體"/>
      <w:sz w:val="36"/>
    </w:rPr>
  </w:style>
  <w:style w:type="paragraph" w:styleId="ac">
    <w:name w:val="Body Text Indent"/>
    <w:basedOn w:val="a"/>
    <w:pPr>
      <w:snapToGrid w:val="0"/>
      <w:ind w:left="360" w:hanging="360"/>
      <w:jc w:val="both"/>
    </w:pPr>
    <w:rPr>
      <w:rFonts w:ascii="標楷體" w:eastAsia="標楷體" w:hAnsi="標楷體"/>
      <w:sz w:val="36"/>
    </w:rPr>
  </w:style>
  <w:style w:type="paragraph" w:styleId="2">
    <w:name w:val="Body Text Indent 2"/>
    <w:basedOn w:val="a"/>
    <w:qFormat/>
    <w:pPr>
      <w:snapToGrid w:val="0"/>
      <w:spacing w:line="300" w:lineRule="auto"/>
      <w:ind w:left="400" w:hanging="400"/>
      <w:jc w:val="both"/>
    </w:pPr>
    <w:rPr>
      <w:rFonts w:ascii="標楷體" w:eastAsia="標楷體" w:hAnsi="標楷體"/>
      <w:sz w:val="40"/>
    </w:rPr>
  </w:style>
  <w:style w:type="paragraph" w:styleId="20">
    <w:name w:val="Body Text 2"/>
    <w:basedOn w:val="a"/>
    <w:qFormat/>
    <w:pPr>
      <w:snapToGrid w:val="0"/>
      <w:jc w:val="both"/>
    </w:pPr>
    <w:rPr>
      <w:rFonts w:ascii="標楷體" w:eastAsia="標楷體" w:hAnsi="標楷體"/>
      <w:sz w:val="36"/>
      <w:u w:val="single"/>
    </w:rPr>
  </w:style>
  <w:style w:type="paragraph" w:styleId="ad">
    <w:name w:val="Date"/>
    <w:basedOn w:val="a"/>
    <w:next w:val="a"/>
    <w:qFormat/>
    <w:pPr>
      <w:snapToGrid w:val="0"/>
      <w:spacing w:line="280" w:lineRule="exact"/>
      <w:ind w:left="7371"/>
      <w:jc w:val="both"/>
    </w:pPr>
    <w:rPr>
      <w:b/>
      <w:sz w:val="18"/>
    </w:rPr>
  </w:style>
  <w:style w:type="paragraph" w:styleId="31">
    <w:name w:val="Body Text 3"/>
    <w:basedOn w:val="a"/>
    <w:qFormat/>
    <w:rPr>
      <w:rFonts w:eastAsia="標楷體"/>
      <w:sz w:val="36"/>
      <w:szCs w:val="24"/>
    </w:rPr>
  </w:style>
  <w:style w:type="paragraph" w:styleId="ae">
    <w:name w:val="List Paragraph"/>
    <w:basedOn w:val="a"/>
    <w:qFormat/>
    <w:pPr>
      <w:ind w:left="4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海岸巡防人員司法警察專長訓練辦法</dc:title>
  <dc:creator>海岸巡防署巡防處訓練科</dc:creator>
  <cp:lastModifiedBy>楊正綸</cp:lastModifiedBy>
  <cp:revision>2</cp:revision>
  <cp:lastPrinted>2000-12-09T20:19:00Z</cp:lastPrinted>
  <dcterms:created xsi:type="dcterms:W3CDTF">2020-08-31T05:58:00Z</dcterms:created>
  <dcterms:modified xsi:type="dcterms:W3CDTF">2020-08-31T05:58:00Z</dcterms:modified>
  <dc:language>zh-TW</dc:language>
</cp:coreProperties>
</file>