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0B7C3B">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B004A5">
              <w:rPr>
                <w:rFonts w:hint="eastAsia"/>
                <w:sz w:val="28"/>
                <w:szCs w:val="28"/>
              </w:rPr>
              <w:t>南巡</w:t>
            </w:r>
            <w:r w:rsidR="000B7C3B">
              <w:rPr>
                <w:rFonts w:hint="eastAsia"/>
                <w:sz w:val="28"/>
                <w:szCs w:val="28"/>
              </w:rPr>
              <w:t>8</w:t>
            </w:r>
            <w:r w:rsidR="00B004A5">
              <w:rPr>
                <w:rFonts w:hint="eastAsia"/>
                <w:sz w:val="28"/>
                <w:szCs w:val="28"/>
              </w:rPr>
              <w:t>號</w:t>
            </w:r>
            <w:r w:rsidR="000B7C3B">
              <w:rPr>
                <w:rFonts w:hint="eastAsia"/>
                <w:sz w:val="28"/>
                <w:szCs w:val="28"/>
              </w:rPr>
              <w:t>(SF-208)</w:t>
            </w:r>
            <w:r w:rsidR="002E7A87">
              <w:rPr>
                <w:rFonts w:hint="eastAsia"/>
                <w:sz w:val="28"/>
                <w:szCs w:val="28"/>
              </w:rPr>
              <w:t>報廢艇1艘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w:t>
            </w:r>
            <w:r w:rsidR="00B004A5">
              <w:rPr>
                <w:sz w:val="28"/>
                <w:szCs w:val="28"/>
              </w:rPr>
              <w:t>1</w:t>
            </w:r>
            <w:r w:rsidR="000B7C3B">
              <w:rPr>
                <w:sz w:val="28"/>
                <w:szCs w:val="28"/>
              </w:rPr>
              <w:t>4</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7D6CC5" w:rsidRPr="004C7234" w:rsidTr="00B03EC2">
        <w:trPr>
          <w:trHeight w:val="542"/>
        </w:trPr>
        <w:tc>
          <w:tcPr>
            <w:tcW w:w="103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7D6CC5" w:rsidRPr="004C7234" w:rsidRDefault="007D6CC5"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7D6CC5" w:rsidRPr="004C7234" w:rsidTr="00B03EC2">
        <w:trPr>
          <w:trHeight w:val="720"/>
        </w:trPr>
        <w:tc>
          <w:tcPr>
            <w:tcW w:w="1036" w:type="dxa"/>
          </w:tcPr>
          <w:p w:rsidR="007D6CC5" w:rsidRPr="004C7234" w:rsidRDefault="00B004A5"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7D6CC5" w:rsidRPr="004C7234" w:rsidRDefault="007D6CC5" w:rsidP="000B7C3B">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w:t>
            </w:r>
            <w:r>
              <w:rPr>
                <w:rFonts w:ascii="標楷體" w:eastAsia="標楷體" w:hAnsi="標楷體" w:hint="eastAsia"/>
                <w:color w:val="000000"/>
                <w:sz w:val="28"/>
                <w:szCs w:val="28"/>
              </w:rPr>
              <w:t>1</w:t>
            </w:r>
            <w:r w:rsidR="000B7C3B">
              <w:rPr>
                <w:rFonts w:ascii="標楷體" w:eastAsia="標楷體" w:hAnsi="標楷體" w:hint="eastAsia"/>
                <w:color w:val="000000"/>
                <w:sz w:val="28"/>
                <w:szCs w:val="28"/>
              </w:rPr>
              <w:t>4</w:t>
            </w:r>
          </w:p>
        </w:tc>
        <w:tc>
          <w:tcPr>
            <w:tcW w:w="1641" w:type="dxa"/>
            <w:vAlign w:val="center"/>
          </w:tcPr>
          <w:p w:rsidR="007D6CC5" w:rsidRDefault="007D6CC5" w:rsidP="005548DE">
            <w:pPr>
              <w:spacing w:line="360" w:lineRule="exact"/>
              <w:jc w:val="center"/>
              <w:rPr>
                <w:rFonts w:ascii="標楷體" w:eastAsia="標楷體" w:hAnsi="標楷體"/>
                <w:sz w:val="28"/>
                <w:szCs w:val="28"/>
              </w:rPr>
            </w:pPr>
            <w:r w:rsidRPr="007A5E32">
              <w:rPr>
                <w:rFonts w:ascii="標楷體" w:eastAsia="標楷體" w:hAnsi="標楷體" w:hint="eastAsia"/>
                <w:sz w:val="28"/>
                <w:szCs w:val="28"/>
              </w:rPr>
              <w:t>南巡</w:t>
            </w:r>
            <w:r w:rsidR="000B7C3B">
              <w:rPr>
                <w:rFonts w:ascii="標楷體" w:eastAsia="標楷體" w:hAnsi="標楷體" w:hint="eastAsia"/>
                <w:sz w:val="28"/>
                <w:szCs w:val="28"/>
              </w:rPr>
              <w:t>8</w:t>
            </w:r>
            <w:r w:rsidRPr="007A5E32">
              <w:rPr>
                <w:rFonts w:ascii="標楷體" w:eastAsia="標楷體" w:hAnsi="標楷體" w:hint="eastAsia"/>
                <w:sz w:val="28"/>
                <w:szCs w:val="28"/>
              </w:rPr>
              <w:t>號</w:t>
            </w:r>
          </w:p>
          <w:p w:rsidR="000B7C3B" w:rsidRPr="004C7234" w:rsidRDefault="000B7C3B" w:rsidP="005548DE">
            <w:pPr>
              <w:spacing w:line="360" w:lineRule="exact"/>
              <w:jc w:val="center"/>
              <w:rPr>
                <w:rFonts w:ascii="標楷體" w:eastAsia="標楷體" w:hAnsi="標楷體"/>
                <w:color w:val="000000"/>
                <w:sz w:val="28"/>
                <w:szCs w:val="28"/>
              </w:rPr>
            </w:pPr>
            <w:r>
              <w:rPr>
                <w:rFonts w:ascii="標楷體" w:eastAsia="標楷體" w:hAnsi="標楷體" w:hint="eastAsia"/>
                <w:sz w:val="28"/>
                <w:szCs w:val="28"/>
              </w:rPr>
              <w:t>(SF-208)</w:t>
            </w:r>
          </w:p>
        </w:tc>
        <w:tc>
          <w:tcPr>
            <w:tcW w:w="1105"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7D6CC5" w:rsidRPr="004C7234" w:rsidRDefault="007D6CC5" w:rsidP="00B03EC2">
            <w:pPr>
              <w:pStyle w:val="Default"/>
              <w:jc w:val="center"/>
              <w:rPr>
                <w:rFonts w:hAnsi="標楷體" w:cstheme="minorBidi"/>
                <w:color w:val="auto"/>
                <w:sz w:val="28"/>
                <w:szCs w:val="28"/>
              </w:rPr>
            </w:pPr>
          </w:p>
        </w:tc>
        <w:tc>
          <w:tcPr>
            <w:tcW w:w="2224" w:type="dxa"/>
            <w:vAlign w:val="center"/>
          </w:tcPr>
          <w:p w:rsidR="007D6CC5" w:rsidRPr="004C7234" w:rsidRDefault="007D6CC5" w:rsidP="00B03EC2">
            <w:pPr>
              <w:pStyle w:val="Default"/>
              <w:spacing w:line="440" w:lineRule="exact"/>
              <w:jc w:val="center"/>
              <w:rPr>
                <w:rFonts w:hAnsi="標楷體" w:cstheme="minorBidi"/>
                <w:color w:val="auto"/>
                <w:sz w:val="28"/>
                <w:szCs w:val="28"/>
              </w:rPr>
            </w:pPr>
          </w:p>
        </w:tc>
      </w:tr>
      <w:tr w:rsidR="007D6CC5" w:rsidRPr="004C7234" w:rsidTr="00B03EC2">
        <w:trPr>
          <w:trHeight w:val="720"/>
        </w:trPr>
        <w:tc>
          <w:tcPr>
            <w:tcW w:w="3873" w:type="dxa"/>
            <w:gridSpan w:val="3"/>
          </w:tcPr>
          <w:p w:rsidR="007D6CC5"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7D6CC5" w:rsidRPr="004C7234" w:rsidTr="00B03EC2">
        <w:trPr>
          <w:trHeight w:val="720"/>
        </w:trPr>
        <w:tc>
          <w:tcPr>
            <w:tcW w:w="10139" w:type="dxa"/>
            <w:gridSpan w:val="7"/>
          </w:tcPr>
          <w:p w:rsidR="007D6CC5" w:rsidRDefault="007D6CC5"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p w:rsidR="007D6CC5" w:rsidRPr="000E00A9"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3.小船執照已註銷。</w:t>
            </w:r>
          </w:p>
        </w:tc>
      </w:tr>
    </w:tbl>
    <w:p w:rsidR="001F5B9A" w:rsidRPr="007A5E32" w:rsidRDefault="001F5B9A" w:rsidP="00B004A5">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08A" w:rsidRDefault="00A2608A" w:rsidP="00A672C1">
      <w:r>
        <w:separator/>
      </w:r>
    </w:p>
  </w:endnote>
  <w:endnote w:type="continuationSeparator" w:id="0">
    <w:p w:rsidR="00A2608A" w:rsidRDefault="00A2608A"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08A" w:rsidRDefault="00A2608A" w:rsidP="00A672C1">
      <w:r>
        <w:separator/>
      </w:r>
    </w:p>
  </w:footnote>
  <w:footnote w:type="continuationSeparator" w:id="0">
    <w:p w:rsidR="00A2608A" w:rsidRDefault="00A2608A"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B7C3B"/>
    <w:rsid w:val="000E00A9"/>
    <w:rsid w:val="001F5B9A"/>
    <w:rsid w:val="00211EDC"/>
    <w:rsid w:val="0022562D"/>
    <w:rsid w:val="00260EF5"/>
    <w:rsid w:val="00273B76"/>
    <w:rsid w:val="002955B9"/>
    <w:rsid w:val="002A6902"/>
    <w:rsid w:val="002B1307"/>
    <w:rsid w:val="002E7A87"/>
    <w:rsid w:val="00304F2E"/>
    <w:rsid w:val="004038CA"/>
    <w:rsid w:val="004C7234"/>
    <w:rsid w:val="004F5FE7"/>
    <w:rsid w:val="00520642"/>
    <w:rsid w:val="0052406B"/>
    <w:rsid w:val="005548DE"/>
    <w:rsid w:val="00561E36"/>
    <w:rsid w:val="00573CE4"/>
    <w:rsid w:val="005C4F9F"/>
    <w:rsid w:val="005F789F"/>
    <w:rsid w:val="00602698"/>
    <w:rsid w:val="0072218F"/>
    <w:rsid w:val="00745994"/>
    <w:rsid w:val="00765FF5"/>
    <w:rsid w:val="0079251E"/>
    <w:rsid w:val="007A5E32"/>
    <w:rsid w:val="007D6CC5"/>
    <w:rsid w:val="007E2162"/>
    <w:rsid w:val="008239D7"/>
    <w:rsid w:val="00870BDC"/>
    <w:rsid w:val="00884AB4"/>
    <w:rsid w:val="008950B0"/>
    <w:rsid w:val="008C5C34"/>
    <w:rsid w:val="00927776"/>
    <w:rsid w:val="0094628F"/>
    <w:rsid w:val="0098412C"/>
    <w:rsid w:val="009857CF"/>
    <w:rsid w:val="009C74F6"/>
    <w:rsid w:val="009F62F2"/>
    <w:rsid w:val="00A25E82"/>
    <w:rsid w:val="00A2608A"/>
    <w:rsid w:val="00A672C1"/>
    <w:rsid w:val="00A80CB7"/>
    <w:rsid w:val="00A93436"/>
    <w:rsid w:val="00B004A5"/>
    <w:rsid w:val="00B018CA"/>
    <w:rsid w:val="00B23555"/>
    <w:rsid w:val="00B85C4A"/>
    <w:rsid w:val="00B91F61"/>
    <w:rsid w:val="00BA1915"/>
    <w:rsid w:val="00C35B73"/>
    <w:rsid w:val="00D04F00"/>
    <w:rsid w:val="00D44F14"/>
    <w:rsid w:val="00D6436E"/>
    <w:rsid w:val="00D724EC"/>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2024-05-21T23:19:00Z</dcterms:created>
  <dcterms:modified xsi:type="dcterms:W3CDTF">2024-05-29T01:53:00Z</dcterms:modified>
</cp:coreProperties>
</file>